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8D" w:rsidRPr="00A1058D" w:rsidRDefault="00A1058D" w:rsidP="00A1058D">
      <w:pPr>
        <w:shd w:val="clear" w:color="auto" w:fill="FFFFFF"/>
        <w:spacing w:before="100" w:beforeAutospacing="1" w:after="100" w:afterAutospacing="1" w:line="240" w:lineRule="auto"/>
        <w:ind w:left="4590" w:right="165"/>
        <w:rPr>
          <w:rFonts w:ascii="Arial" w:eastAsia="Times New Roman" w:hAnsi="Arial" w:cs="Arial"/>
          <w:b/>
          <w:bCs/>
          <w:color w:val="000000"/>
          <w:sz w:val="24"/>
          <w:szCs w:val="24"/>
        </w:rPr>
      </w:pPr>
      <w:r w:rsidRPr="00A1058D">
        <w:rPr>
          <w:rFonts w:ascii="Arial" w:eastAsia="Times New Roman" w:hAnsi="Arial" w:cs="Arial"/>
          <w:b/>
          <w:bCs/>
          <w:color w:val="000000"/>
          <w:sz w:val="27"/>
          <w:szCs w:val="27"/>
        </w:rPr>
        <w:t>Honorary Degree Policy and Procedures</w:t>
      </w:r>
      <w:r w:rsidRPr="00A1058D">
        <w:rPr>
          <w:rFonts w:ascii="Arial" w:eastAsia="Times New Roman" w:hAnsi="Arial" w:cs="Arial"/>
          <w:b/>
          <w:bCs/>
          <w:color w:val="000000"/>
          <w:sz w:val="24"/>
          <w:szCs w:val="24"/>
        </w:rPr>
        <w:pict>
          <v:rect id="_x0000_i1025" style="width:468pt;height:.75pt" o:hrstd="t" o:hrnoshade="t" o:hr="t" fillcolor="#ccc" stroked="f"/>
        </w:pict>
      </w:r>
    </w:p>
    <w:p w:rsidR="00A1058D" w:rsidRDefault="00A1058D" w:rsidP="00A1058D">
      <w:pPr>
        <w:shd w:val="clear" w:color="auto" w:fill="FFFFFF"/>
        <w:spacing w:line="240" w:lineRule="auto"/>
        <w:ind w:left="4590" w:right="165"/>
        <w:jc w:val="both"/>
        <w:rPr>
          <w:rFonts w:ascii="Arial" w:eastAsia="Times New Roman" w:hAnsi="Arial" w:cs="Arial"/>
          <w:b/>
          <w:bCs/>
          <w:color w:val="000000"/>
          <w:sz w:val="24"/>
          <w:szCs w:val="24"/>
        </w:rPr>
      </w:pP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color w:val="000000"/>
          <w:sz w:val="27"/>
          <w:szCs w:val="27"/>
        </w:rPr>
      </w:pPr>
      <w:r w:rsidRPr="00A1058D">
        <w:rPr>
          <w:rFonts w:ascii="Arial" w:eastAsia="Times New Roman" w:hAnsi="Arial" w:cs="Arial"/>
          <w:b/>
          <w:bCs/>
          <w:color w:val="000000"/>
          <w:sz w:val="24"/>
          <w:szCs w:val="24"/>
        </w:rPr>
        <w:t xml:space="preserve">Statement of Policy </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 xml:space="preserve">Tennessee State University, with the approval of the Tennessee Board of Regents, confers honorary degrees upon persons whose careers reflect sustained and superlative achievement in the arts and professions, research, scholarship, public service, leadership, volunteerism, and cultural affairs, as well as new frontiers of human endeavor, and who have demonstrated extraordinary achievements in such areas as research, scholarship, education, artistic creation, social activism, human rights, innovation or invention beneficial to society, and humanitarian outreach. </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color w:val="000000"/>
          <w:sz w:val="24"/>
          <w:szCs w:val="24"/>
        </w:rPr>
      </w:pPr>
      <w:r w:rsidRPr="00A1058D">
        <w:rPr>
          <w:rFonts w:ascii="Times New Roman" w:eastAsia="Times New Roman" w:hAnsi="Times New Roman" w:cs="Times New Roman"/>
          <w:color w:val="000000"/>
          <w:sz w:val="24"/>
          <w:szCs w:val="24"/>
        </w:rPr>
        <w:t> </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tabs>
          <w:tab w:val="left" w:pos="360"/>
        </w:tabs>
        <w:spacing w:line="240" w:lineRule="auto"/>
        <w:ind w:left="4950" w:right="165" w:hanging="360"/>
        <w:jc w:val="both"/>
        <w:rPr>
          <w:rFonts w:ascii="Arial" w:eastAsia="Times New Roman" w:hAnsi="Arial" w:cs="Arial"/>
          <w:color w:val="000000"/>
          <w:sz w:val="20"/>
          <w:szCs w:val="20"/>
        </w:rPr>
      </w:pPr>
      <w:r w:rsidRPr="00A1058D">
        <w:rPr>
          <w:rFonts w:ascii="Arial" w:eastAsia="Times New Roman" w:hAnsi="Arial" w:cs="Arial"/>
          <w:b/>
          <w:bCs/>
          <w:color w:val="000000"/>
          <w:sz w:val="20"/>
        </w:rPr>
        <w:t>I.</w:t>
      </w:r>
      <w:r w:rsidRPr="00A1058D">
        <w:rPr>
          <w:rFonts w:ascii="Arial" w:eastAsia="Times New Roman" w:hAnsi="Arial" w:cs="Arial"/>
          <w:b/>
          <w:bCs/>
          <w:color w:val="000000"/>
          <w:sz w:val="20"/>
        </w:rPr>
        <w:tab/>
        <w:t>Criteria.</w:t>
      </w:r>
      <w:r w:rsidRPr="00A1058D">
        <w:rPr>
          <w:rFonts w:ascii="Arial" w:eastAsia="Times New Roman" w:hAnsi="Arial" w:cs="Arial"/>
          <w:color w:val="000000"/>
          <w:sz w:val="20"/>
          <w:szCs w:val="20"/>
        </w:rPr>
        <w:t xml:space="preserve">  Board of </w:t>
      </w:r>
      <w:hyperlink r:id="rId5" w:history="1">
        <w:r w:rsidRPr="00A1058D">
          <w:rPr>
            <w:rFonts w:ascii="Arial" w:eastAsia="Times New Roman" w:hAnsi="Arial" w:cs="Arial"/>
            <w:color w:val="800080"/>
            <w:sz w:val="20"/>
            <w:u w:val="single"/>
          </w:rPr>
          <w:t>Regents policy</w:t>
        </w:r>
      </w:hyperlink>
      <w:r w:rsidRPr="00A1058D">
        <w:rPr>
          <w:rFonts w:ascii="Arial" w:eastAsia="Times New Roman" w:hAnsi="Arial" w:cs="Arial"/>
          <w:color w:val="000000"/>
          <w:sz w:val="20"/>
          <w:szCs w:val="20"/>
        </w:rPr>
        <w:t xml:space="preserve"> authorizes the awarding of honorary degrees under the following circumstances:</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Times New Roman" w:hAnsi="Arial" w:cs="Arial"/>
          <w:color w:val="000000"/>
          <w:sz w:val="20"/>
          <w:szCs w:val="20"/>
        </w:rPr>
      </w:pPr>
      <w:r w:rsidRPr="00A1058D">
        <w:rPr>
          <w:rFonts w:ascii="Arial" w:eastAsia="Arial" w:hAnsi="Arial" w:cs="Arial"/>
          <w:color w:val="000000"/>
          <w:sz w:val="20"/>
          <w:szCs w:val="20"/>
        </w:rPr>
        <w:t>A.</w:t>
      </w:r>
      <w:r w:rsidRPr="00A1058D">
        <w:rPr>
          <w:rFonts w:ascii="Times New Roman" w:eastAsia="Arial" w:hAnsi="Times New Roman" w:cs="Times New Roman"/>
          <w:color w:val="000000"/>
          <w:sz w:val="14"/>
          <w:szCs w:val="14"/>
        </w:rPr>
        <w:t xml:space="preserve">    </w:t>
      </w:r>
      <w:r w:rsidRPr="00A1058D">
        <w:rPr>
          <w:rFonts w:ascii="Arial" w:eastAsia="Times New Roman" w:hAnsi="Arial" w:cs="Arial"/>
          <w:color w:val="000000"/>
          <w:sz w:val="20"/>
          <w:szCs w:val="20"/>
        </w:rPr>
        <w:t xml:space="preserve">To recognize individuals whose extraordinary achievements have set a standard that distinguishes them and benefits Board of Regents institutions and the communities they serve as well as society; </w:t>
      </w:r>
    </w:p>
    <w:p w:rsidR="00A1058D" w:rsidRPr="00A1058D" w:rsidRDefault="00A1058D" w:rsidP="00A1058D">
      <w:pPr>
        <w:shd w:val="clear" w:color="auto" w:fill="FFFFFF"/>
        <w:spacing w:line="240" w:lineRule="auto"/>
        <w:ind w:left="531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Times New Roman" w:hAnsi="Arial" w:cs="Arial"/>
          <w:color w:val="000000"/>
          <w:sz w:val="20"/>
          <w:szCs w:val="20"/>
        </w:rPr>
      </w:pPr>
      <w:r w:rsidRPr="00A1058D">
        <w:rPr>
          <w:rFonts w:ascii="Arial" w:eastAsia="Arial" w:hAnsi="Arial" w:cs="Arial"/>
          <w:color w:val="000000"/>
          <w:sz w:val="20"/>
          <w:szCs w:val="20"/>
        </w:rPr>
        <w:t>B.</w:t>
      </w:r>
      <w:r w:rsidRPr="00A1058D">
        <w:rPr>
          <w:rFonts w:ascii="Times New Roman" w:eastAsia="Arial" w:hAnsi="Times New Roman" w:cs="Times New Roman"/>
          <w:color w:val="000000"/>
          <w:sz w:val="14"/>
          <w:szCs w:val="14"/>
        </w:rPr>
        <w:t xml:space="preserve">    </w:t>
      </w:r>
      <w:r w:rsidRPr="00A1058D">
        <w:rPr>
          <w:rFonts w:ascii="Arial" w:eastAsia="Times New Roman" w:hAnsi="Arial" w:cs="Arial"/>
          <w:color w:val="000000"/>
          <w:sz w:val="20"/>
          <w:szCs w:val="20"/>
        </w:rPr>
        <w:t xml:space="preserve">To advance the educational missions, goals, and programs of the Tennessee Board of Regents institutions by developing associations with persons who embody the same ideals, values, and aspirations; and </w:t>
      </w:r>
    </w:p>
    <w:p w:rsidR="00A1058D" w:rsidRPr="00A1058D" w:rsidRDefault="00A1058D" w:rsidP="00A1058D">
      <w:pPr>
        <w:shd w:val="clear" w:color="auto" w:fill="FFFFFF"/>
        <w:spacing w:line="240" w:lineRule="auto"/>
        <w:ind w:left="531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Times New Roman" w:hAnsi="Arial" w:cs="Arial"/>
          <w:color w:val="000000"/>
          <w:sz w:val="20"/>
          <w:szCs w:val="20"/>
        </w:rPr>
      </w:pPr>
      <w:r w:rsidRPr="00A1058D">
        <w:rPr>
          <w:rFonts w:ascii="Arial" w:eastAsia="Arial" w:hAnsi="Arial" w:cs="Arial"/>
          <w:color w:val="000000"/>
          <w:sz w:val="20"/>
          <w:szCs w:val="20"/>
        </w:rPr>
        <w:t>C.</w:t>
      </w:r>
      <w:r w:rsidRPr="00A1058D">
        <w:rPr>
          <w:rFonts w:ascii="Times New Roman" w:eastAsia="Arial" w:hAnsi="Times New Roman" w:cs="Times New Roman"/>
          <w:color w:val="000000"/>
          <w:sz w:val="14"/>
          <w:szCs w:val="14"/>
        </w:rPr>
        <w:t xml:space="preserve">    </w:t>
      </w:r>
      <w:r w:rsidRPr="00A1058D">
        <w:rPr>
          <w:rFonts w:ascii="Arial" w:eastAsia="Times New Roman" w:hAnsi="Arial" w:cs="Arial"/>
          <w:color w:val="000000"/>
          <w:sz w:val="20"/>
          <w:szCs w:val="20"/>
        </w:rPr>
        <w:t>To inspire students, faculty, staff, administrators, alumni, and members of the local, national, and world communities to emulate such standards of excellence, integrity, and commitment to enhance the public good.</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tabs>
          <w:tab w:val="left" w:pos="360"/>
        </w:tabs>
        <w:spacing w:line="240" w:lineRule="auto"/>
        <w:ind w:left="4950" w:right="165" w:hanging="360"/>
        <w:jc w:val="both"/>
        <w:rPr>
          <w:rFonts w:ascii="Arial" w:eastAsia="Times New Roman" w:hAnsi="Arial" w:cs="Arial"/>
          <w:color w:val="000000"/>
          <w:sz w:val="20"/>
          <w:szCs w:val="20"/>
        </w:rPr>
      </w:pPr>
      <w:r w:rsidRPr="00A1058D">
        <w:rPr>
          <w:rFonts w:ascii="Arial" w:eastAsia="Times New Roman" w:hAnsi="Arial" w:cs="Arial"/>
          <w:b/>
          <w:bCs/>
          <w:color w:val="000000"/>
          <w:sz w:val="20"/>
        </w:rPr>
        <w:t>II.</w:t>
      </w:r>
      <w:r w:rsidRPr="00A1058D">
        <w:rPr>
          <w:rFonts w:ascii="Arial" w:eastAsia="Times New Roman" w:hAnsi="Arial" w:cs="Arial"/>
          <w:b/>
          <w:bCs/>
          <w:color w:val="000000"/>
          <w:sz w:val="20"/>
        </w:rPr>
        <w:tab/>
        <w:t>General Principles</w:t>
      </w:r>
      <w:r w:rsidRPr="00A1058D">
        <w:rPr>
          <w:rFonts w:ascii="Arial" w:eastAsia="Times New Roman" w:hAnsi="Arial" w:cs="Arial"/>
          <w:color w:val="000000"/>
          <w:sz w:val="20"/>
          <w:szCs w:val="20"/>
        </w:rPr>
        <w:t>. The following general principles apply to the selection process:</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Arial" w:hAnsi="Arial" w:cs="Arial"/>
          <w:color w:val="000000"/>
          <w:sz w:val="20"/>
          <w:szCs w:val="20"/>
        </w:rPr>
      </w:pPr>
      <w:r w:rsidRPr="00A1058D">
        <w:rPr>
          <w:rFonts w:ascii="Arial" w:eastAsia="Arial" w:hAnsi="Arial" w:cs="Arial"/>
          <w:color w:val="000000"/>
          <w:sz w:val="20"/>
          <w:szCs w:val="20"/>
        </w:rPr>
        <w:t>A.</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The degree should be awarded in honor of extraordinary achievement over an entire career and not merely to honor a single achievement.</w:t>
      </w:r>
    </w:p>
    <w:p w:rsidR="00A1058D" w:rsidRPr="00A1058D" w:rsidRDefault="00A1058D" w:rsidP="00A1058D">
      <w:pPr>
        <w:shd w:val="clear" w:color="auto" w:fill="FFFFFF"/>
        <w:spacing w:line="240" w:lineRule="auto"/>
        <w:ind w:left="5310" w:right="165"/>
        <w:jc w:val="both"/>
        <w:rPr>
          <w:rFonts w:ascii="Arial" w:eastAsia="Arial"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Arial" w:hAnsi="Arial" w:cs="Arial"/>
          <w:color w:val="000000"/>
          <w:sz w:val="20"/>
          <w:szCs w:val="20"/>
        </w:rPr>
      </w:pPr>
      <w:r w:rsidRPr="00A1058D">
        <w:rPr>
          <w:rFonts w:ascii="Arial" w:eastAsia="Arial" w:hAnsi="Arial" w:cs="Arial"/>
          <w:color w:val="000000"/>
          <w:sz w:val="20"/>
          <w:szCs w:val="20"/>
        </w:rPr>
        <w:t>B.</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Degree recipients will be selected as part of a participatory institutional process.  Selection shall be made by a campus Selection Committee as follows:</w:t>
      </w:r>
    </w:p>
    <w:p w:rsidR="00A1058D" w:rsidRPr="00A1058D" w:rsidRDefault="00A1058D" w:rsidP="00A1058D">
      <w:pPr>
        <w:shd w:val="clear" w:color="auto" w:fill="FFFFFF"/>
        <w:spacing w:line="240" w:lineRule="auto"/>
        <w:ind w:left="4590" w:right="165"/>
        <w:jc w:val="both"/>
        <w:rPr>
          <w:rFonts w:ascii="Arial" w:eastAsia="Arial" w:hAnsi="Arial" w:cs="Arial"/>
          <w:color w:val="000000"/>
          <w:sz w:val="20"/>
          <w:szCs w:val="20"/>
        </w:rPr>
      </w:pPr>
    </w:p>
    <w:p w:rsidR="00A1058D" w:rsidRPr="00A1058D" w:rsidRDefault="00A1058D" w:rsidP="00A1058D">
      <w:pPr>
        <w:shd w:val="clear" w:color="auto" w:fill="FFFFFF"/>
        <w:tabs>
          <w:tab w:val="left" w:pos="2070"/>
        </w:tabs>
        <w:spacing w:line="240" w:lineRule="auto"/>
        <w:ind w:left="5760" w:right="165" w:hanging="450"/>
        <w:jc w:val="both"/>
        <w:rPr>
          <w:rFonts w:ascii="Arial" w:eastAsia="Arial" w:hAnsi="Arial" w:cs="Arial"/>
          <w:color w:val="000000"/>
          <w:sz w:val="20"/>
          <w:szCs w:val="20"/>
        </w:rPr>
      </w:pPr>
      <w:r w:rsidRPr="00A1058D">
        <w:rPr>
          <w:rFonts w:ascii="Arial" w:eastAsia="Arial" w:hAnsi="Arial" w:cs="Arial"/>
          <w:color w:val="000000"/>
          <w:sz w:val="20"/>
          <w:szCs w:val="20"/>
        </w:rPr>
        <w:t>(1)</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Recipients of the degree shall be selected by a Committee comprised of a minimum of fifty percent (50%) faculty.  Recipients must be approved by the President and Board of Regents.</w:t>
      </w:r>
    </w:p>
    <w:p w:rsidR="00A1058D" w:rsidRPr="00A1058D" w:rsidRDefault="00A1058D" w:rsidP="00A1058D">
      <w:pPr>
        <w:shd w:val="clear" w:color="auto" w:fill="FFFFFF"/>
        <w:tabs>
          <w:tab w:val="left" w:pos="2070"/>
        </w:tabs>
        <w:spacing w:line="240" w:lineRule="auto"/>
        <w:ind w:left="5760" w:right="165" w:hanging="450"/>
        <w:jc w:val="both"/>
        <w:rPr>
          <w:rFonts w:ascii="Arial" w:eastAsia="Arial" w:hAnsi="Arial" w:cs="Arial"/>
          <w:color w:val="000000"/>
          <w:sz w:val="20"/>
          <w:szCs w:val="20"/>
        </w:rPr>
      </w:pPr>
      <w:r w:rsidRPr="00A1058D">
        <w:rPr>
          <w:rFonts w:ascii="Arial" w:eastAsia="Arial" w:hAnsi="Arial" w:cs="Arial"/>
          <w:color w:val="000000"/>
          <w:sz w:val="20"/>
          <w:szCs w:val="20"/>
        </w:rPr>
        <w:t>(2)</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The degree awarded shall be called an Honorary Doctor of Humane Letters.  The degree is not to be granted for earned credit such as a Ph.D.</w:t>
      </w:r>
    </w:p>
    <w:p w:rsidR="00A1058D" w:rsidRPr="00A1058D" w:rsidRDefault="00A1058D" w:rsidP="00A1058D">
      <w:pPr>
        <w:shd w:val="clear" w:color="auto" w:fill="FFFFFF"/>
        <w:tabs>
          <w:tab w:val="left" w:pos="2070"/>
        </w:tabs>
        <w:spacing w:line="240" w:lineRule="auto"/>
        <w:ind w:left="5760" w:right="165" w:hanging="450"/>
        <w:jc w:val="both"/>
        <w:rPr>
          <w:rFonts w:ascii="Arial" w:eastAsia="Arial" w:hAnsi="Arial" w:cs="Arial"/>
          <w:color w:val="000000"/>
          <w:sz w:val="20"/>
          <w:szCs w:val="20"/>
        </w:rPr>
      </w:pPr>
      <w:r w:rsidRPr="00A1058D">
        <w:rPr>
          <w:rFonts w:ascii="Arial" w:eastAsia="Arial" w:hAnsi="Arial" w:cs="Arial"/>
          <w:color w:val="000000"/>
          <w:sz w:val="20"/>
          <w:szCs w:val="20"/>
        </w:rPr>
        <w:t>(3)</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 xml:space="preserve">Current university employees and individuals holding elected or appointed government office within the State of Tennessee are not eligible. Honorary degrees may be awarded to former employees who have been separated from the Board of Regents at least five years and former elected officials who meet the criteria. </w:t>
      </w:r>
    </w:p>
    <w:p w:rsidR="00A1058D" w:rsidRPr="00A1058D" w:rsidRDefault="00A1058D" w:rsidP="00A1058D">
      <w:pPr>
        <w:shd w:val="clear" w:color="auto" w:fill="FFFFFF"/>
        <w:tabs>
          <w:tab w:val="left" w:pos="2070"/>
        </w:tabs>
        <w:spacing w:line="240" w:lineRule="auto"/>
        <w:ind w:left="5760" w:right="165" w:hanging="450"/>
        <w:jc w:val="both"/>
        <w:rPr>
          <w:rFonts w:ascii="Arial" w:eastAsia="Arial" w:hAnsi="Arial" w:cs="Arial"/>
          <w:color w:val="000000"/>
          <w:sz w:val="20"/>
          <w:szCs w:val="20"/>
        </w:rPr>
      </w:pPr>
      <w:r w:rsidRPr="00A1058D">
        <w:rPr>
          <w:rFonts w:ascii="Arial" w:eastAsia="Arial" w:hAnsi="Arial" w:cs="Arial"/>
          <w:color w:val="000000"/>
          <w:sz w:val="20"/>
          <w:szCs w:val="20"/>
        </w:rPr>
        <w:t>(4)</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Nominees for public elective and/or appointed offices within the State of Tennessee are not eligible.</w:t>
      </w:r>
    </w:p>
    <w:p w:rsidR="00A1058D" w:rsidRPr="00A1058D" w:rsidRDefault="00A1058D" w:rsidP="00A1058D">
      <w:pPr>
        <w:shd w:val="clear" w:color="auto" w:fill="FFFFFF"/>
        <w:tabs>
          <w:tab w:val="left" w:pos="2070"/>
        </w:tabs>
        <w:spacing w:line="240" w:lineRule="auto"/>
        <w:ind w:left="5760" w:right="165" w:hanging="450"/>
        <w:jc w:val="both"/>
        <w:rPr>
          <w:rFonts w:ascii="Arial" w:eastAsia="Arial" w:hAnsi="Arial" w:cs="Arial"/>
          <w:color w:val="000000"/>
          <w:sz w:val="20"/>
          <w:szCs w:val="20"/>
        </w:rPr>
      </w:pPr>
      <w:r w:rsidRPr="00A1058D">
        <w:rPr>
          <w:rFonts w:ascii="Arial" w:eastAsia="Arial" w:hAnsi="Arial" w:cs="Arial"/>
          <w:color w:val="000000"/>
          <w:sz w:val="20"/>
          <w:szCs w:val="20"/>
        </w:rPr>
        <w:t>(5)</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 xml:space="preserve">Philanthropy cannot be a sole or main criterion for awarding an honorary degree, but may be taken into account as a factor to be considered by the Selection Committee in a determination to award an honorary degree. </w:t>
      </w:r>
    </w:p>
    <w:p w:rsidR="00A1058D" w:rsidRPr="00A1058D" w:rsidRDefault="00A1058D" w:rsidP="00A1058D">
      <w:pPr>
        <w:shd w:val="clear" w:color="auto" w:fill="FFFFFF"/>
        <w:tabs>
          <w:tab w:val="left" w:pos="2070"/>
        </w:tabs>
        <w:spacing w:line="240" w:lineRule="auto"/>
        <w:ind w:left="5760" w:right="165" w:hanging="450"/>
        <w:jc w:val="both"/>
        <w:rPr>
          <w:rFonts w:ascii="Arial" w:eastAsia="Arial" w:hAnsi="Arial" w:cs="Arial"/>
          <w:color w:val="000000"/>
          <w:sz w:val="20"/>
          <w:szCs w:val="20"/>
        </w:rPr>
      </w:pPr>
      <w:r w:rsidRPr="00A1058D">
        <w:rPr>
          <w:rFonts w:ascii="Arial" w:eastAsia="Arial" w:hAnsi="Arial" w:cs="Arial"/>
          <w:color w:val="000000"/>
          <w:sz w:val="20"/>
          <w:szCs w:val="20"/>
        </w:rPr>
        <w:t>(6)</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No more than two honorary degrees may be awarded per year. No individual will be allowed to receive more than one honorary degree from the same institution.</w:t>
      </w:r>
    </w:p>
    <w:p w:rsidR="00A1058D" w:rsidRPr="00A1058D" w:rsidRDefault="00A1058D" w:rsidP="00A1058D">
      <w:pPr>
        <w:shd w:val="clear" w:color="auto" w:fill="FFFFFF"/>
        <w:spacing w:line="240" w:lineRule="auto"/>
        <w:ind w:left="5310" w:right="165"/>
        <w:jc w:val="both"/>
        <w:rPr>
          <w:rFonts w:ascii="Arial" w:eastAsia="Arial"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Arial" w:hAnsi="Arial" w:cs="Arial"/>
          <w:color w:val="000000"/>
          <w:sz w:val="20"/>
          <w:szCs w:val="20"/>
        </w:rPr>
      </w:pPr>
      <w:r w:rsidRPr="00A1058D">
        <w:rPr>
          <w:rFonts w:ascii="Arial" w:eastAsia="Arial" w:hAnsi="Arial" w:cs="Arial"/>
          <w:color w:val="000000"/>
          <w:sz w:val="20"/>
          <w:szCs w:val="20"/>
        </w:rPr>
        <w:t>C.</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 xml:space="preserve">Current or prospective benefactors. Current or prospective benefactors of the institution are not eligible unless they meet criteria outlined in </w:t>
      </w:r>
      <w:proofErr w:type="gramStart"/>
      <w:r w:rsidRPr="00A1058D">
        <w:rPr>
          <w:rFonts w:ascii="Arial" w:eastAsia="Arial" w:hAnsi="Arial" w:cs="Arial"/>
          <w:color w:val="000000"/>
          <w:sz w:val="20"/>
          <w:szCs w:val="20"/>
        </w:rPr>
        <w:t>section</w:t>
      </w:r>
      <w:proofErr w:type="gramEnd"/>
      <w:r w:rsidRPr="00A1058D">
        <w:rPr>
          <w:rFonts w:ascii="Arial" w:eastAsia="Arial" w:hAnsi="Arial" w:cs="Arial"/>
          <w:color w:val="000000"/>
          <w:sz w:val="20"/>
          <w:szCs w:val="20"/>
        </w:rPr>
        <w:t xml:space="preserve"> (I) (A) of this policy.</w:t>
      </w:r>
    </w:p>
    <w:p w:rsidR="00A1058D" w:rsidRPr="00A1058D" w:rsidRDefault="00A1058D" w:rsidP="00A1058D">
      <w:pPr>
        <w:shd w:val="clear" w:color="auto" w:fill="FFFFFF"/>
        <w:spacing w:line="240" w:lineRule="auto"/>
        <w:ind w:left="5310" w:right="165"/>
        <w:jc w:val="both"/>
        <w:rPr>
          <w:rFonts w:ascii="Arial" w:eastAsia="Arial"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Arial" w:hAnsi="Arial" w:cs="Arial"/>
          <w:color w:val="FF0000"/>
          <w:sz w:val="20"/>
          <w:szCs w:val="20"/>
        </w:rPr>
      </w:pPr>
      <w:r w:rsidRPr="00A1058D">
        <w:rPr>
          <w:rFonts w:ascii="Arial" w:eastAsia="Arial" w:hAnsi="Arial" w:cs="Arial"/>
          <w:color w:val="000000"/>
          <w:sz w:val="20"/>
          <w:szCs w:val="20"/>
        </w:rPr>
        <w:t>D.</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 xml:space="preserve">Attendance at graduation required. The recipient must attend graduation to be awarded the honorary degree.  </w:t>
      </w:r>
      <w:r w:rsidRPr="00A1058D">
        <w:rPr>
          <w:rFonts w:ascii="Arial" w:eastAsia="Arial" w:hAnsi="Arial" w:cs="Arial"/>
          <w:color w:val="FF0000"/>
          <w:sz w:val="20"/>
          <w:szCs w:val="20"/>
        </w:rPr>
        <w:t>Therefore, no nominations for posthumous degree awards will be accepted.</w:t>
      </w:r>
    </w:p>
    <w:p w:rsidR="00A1058D" w:rsidRPr="00A1058D" w:rsidRDefault="00A1058D" w:rsidP="00A1058D">
      <w:pPr>
        <w:shd w:val="clear" w:color="auto" w:fill="FFFFFF"/>
        <w:spacing w:line="240" w:lineRule="auto"/>
        <w:ind w:left="5310" w:right="165"/>
        <w:jc w:val="both"/>
        <w:rPr>
          <w:rFonts w:ascii="Arial" w:eastAsia="Arial" w:hAnsi="Arial" w:cs="Arial"/>
          <w:color w:val="000000"/>
          <w:sz w:val="20"/>
          <w:szCs w:val="20"/>
        </w:rPr>
      </w:pPr>
    </w:p>
    <w:p w:rsidR="00A1058D" w:rsidRPr="00A1058D" w:rsidRDefault="00A1058D" w:rsidP="00A1058D">
      <w:pPr>
        <w:shd w:val="clear" w:color="auto" w:fill="FFFFFF"/>
        <w:spacing w:line="240" w:lineRule="auto"/>
        <w:ind w:left="5310" w:right="165" w:hanging="360"/>
        <w:jc w:val="both"/>
        <w:rPr>
          <w:rFonts w:ascii="Arial" w:eastAsia="Arial" w:hAnsi="Arial" w:cs="Arial"/>
          <w:color w:val="000000"/>
          <w:sz w:val="20"/>
          <w:szCs w:val="20"/>
        </w:rPr>
      </w:pPr>
      <w:r w:rsidRPr="00A1058D">
        <w:rPr>
          <w:rFonts w:ascii="Arial" w:eastAsia="Arial" w:hAnsi="Arial" w:cs="Arial"/>
          <w:color w:val="000000"/>
          <w:sz w:val="20"/>
          <w:szCs w:val="20"/>
        </w:rPr>
        <w:t>E.</w:t>
      </w:r>
      <w:r w:rsidRPr="00A1058D">
        <w:rPr>
          <w:rFonts w:ascii="Times New Roman" w:eastAsia="Arial" w:hAnsi="Times New Roman" w:cs="Times New Roman"/>
          <w:color w:val="000000"/>
          <w:sz w:val="14"/>
          <w:szCs w:val="14"/>
        </w:rPr>
        <w:t xml:space="preserve">    </w:t>
      </w:r>
      <w:r w:rsidRPr="00A1058D">
        <w:rPr>
          <w:rFonts w:ascii="Arial" w:eastAsia="Arial" w:hAnsi="Arial" w:cs="Arial"/>
          <w:color w:val="000000"/>
          <w:sz w:val="20"/>
          <w:szCs w:val="20"/>
        </w:rPr>
        <w:t>President's approval required. The President must approve the nominee for the degree.</w:t>
      </w:r>
    </w:p>
    <w:p w:rsidR="00A1058D" w:rsidRPr="00A1058D" w:rsidRDefault="00A1058D" w:rsidP="00A1058D">
      <w:pPr>
        <w:shd w:val="clear" w:color="auto" w:fill="FFFFFF"/>
        <w:spacing w:line="240" w:lineRule="auto"/>
        <w:ind w:left="5310" w:right="165" w:hanging="360"/>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b/>
          <w:bCs/>
          <w:color w:val="000000"/>
          <w:sz w:val="20"/>
        </w:rPr>
        <w:t>III.</w:t>
      </w:r>
      <w:r w:rsidRPr="00A1058D">
        <w:rPr>
          <w:rFonts w:ascii="Arial" w:eastAsia="Times New Roman" w:hAnsi="Arial" w:cs="Arial"/>
          <w:b/>
          <w:bCs/>
          <w:color w:val="000000"/>
          <w:sz w:val="20"/>
        </w:rPr>
        <w:tab/>
        <w:t>Exceptions.</w:t>
      </w:r>
      <w:r w:rsidRPr="00A1058D">
        <w:rPr>
          <w:rFonts w:ascii="Arial" w:eastAsia="Times New Roman" w:hAnsi="Arial" w:cs="Arial"/>
          <w:color w:val="000000"/>
          <w:sz w:val="20"/>
          <w:szCs w:val="20"/>
        </w:rPr>
        <w:t xml:space="preserve">  No exceptions to this policy will be granted.</w:t>
      </w:r>
    </w:p>
    <w:p w:rsidR="00A1058D" w:rsidRPr="00A1058D" w:rsidRDefault="00A1058D" w:rsidP="00A1058D">
      <w:pPr>
        <w:shd w:val="clear" w:color="auto" w:fill="FFFFFF"/>
        <w:spacing w:line="240" w:lineRule="auto"/>
        <w:ind w:left="6030" w:right="165" w:hanging="810"/>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color w:val="000000"/>
          <w:sz w:val="27"/>
          <w:szCs w:val="27"/>
        </w:rPr>
      </w:pPr>
      <w:r w:rsidRPr="00A1058D">
        <w:rPr>
          <w:rFonts w:ascii="Arial" w:eastAsia="Times New Roman" w:hAnsi="Arial" w:cs="Arial"/>
          <w:b/>
          <w:bCs/>
          <w:color w:val="000000"/>
          <w:sz w:val="24"/>
          <w:szCs w:val="24"/>
        </w:rPr>
        <w:t>Honorary Degree Selection Committee Procedures</w:t>
      </w:r>
    </w:p>
    <w:p w:rsidR="00A1058D" w:rsidRPr="00A1058D" w:rsidRDefault="00A1058D" w:rsidP="00A1058D">
      <w:pPr>
        <w:shd w:val="clear" w:color="auto" w:fill="FFFFFF"/>
        <w:spacing w:line="240" w:lineRule="auto"/>
        <w:ind w:left="6030" w:right="165" w:hanging="810"/>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b/>
          <w:bCs/>
          <w:sz w:val="24"/>
          <w:szCs w:val="24"/>
          <w:u w:val="single"/>
        </w:rPr>
      </w:pPr>
      <w:r w:rsidRPr="00A1058D">
        <w:rPr>
          <w:rFonts w:ascii="Arial" w:eastAsia="Times New Roman" w:hAnsi="Arial" w:cs="Arial"/>
          <w:b/>
          <w:bCs/>
          <w:color w:val="000000"/>
          <w:sz w:val="20"/>
          <w:u w:val="single"/>
        </w:rPr>
        <w:t>Membership</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sz w:val="24"/>
          <w:szCs w:val="24"/>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The Selection Committee consists of the following seven (7) voting members:</w:t>
      </w:r>
    </w:p>
    <w:p w:rsidR="00A1058D" w:rsidRPr="00A1058D" w:rsidRDefault="00A1058D" w:rsidP="00A1058D">
      <w:pPr>
        <w:numPr>
          <w:ilvl w:val="0"/>
          <w:numId w:val="1"/>
        </w:numPr>
        <w:shd w:val="clear" w:color="auto" w:fill="FFFFFF"/>
        <w:spacing w:before="100" w:beforeAutospacing="1" w:after="100" w:afterAutospacing="1" w:line="240" w:lineRule="auto"/>
        <w:ind w:left="567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A chair and three associate/full professors appointed by the President based upon recommendations from the Vice President for Academic Affairs or a designee</w:t>
      </w:r>
    </w:p>
    <w:p w:rsidR="00A1058D" w:rsidRPr="00A1058D" w:rsidRDefault="00A1058D" w:rsidP="00A1058D">
      <w:pPr>
        <w:numPr>
          <w:ilvl w:val="0"/>
          <w:numId w:val="1"/>
        </w:numPr>
        <w:shd w:val="clear" w:color="auto" w:fill="FFFFFF"/>
        <w:spacing w:before="100" w:beforeAutospacing="1" w:after="100" w:afterAutospacing="1" w:line="240" w:lineRule="auto"/>
        <w:ind w:left="567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 xml:space="preserve">The Chair of the Faculty Senate or a faculty member recommended by the Chair </w:t>
      </w:r>
    </w:p>
    <w:p w:rsidR="00A1058D" w:rsidRPr="00A1058D" w:rsidRDefault="00A1058D" w:rsidP="00A1058D">
      <w:pPr>
        <w:numPr>
          <w:ilvl w:val="0"/>
          <w:numId w:val="1"/>
        </w:numPr>
        <w:shd w:val="clear" w:color="auto" w:fill="FFFFFF"/>
        <w:spacing w:before="100" w:beforeAutospacing="1" w:after="100" w:afterAutospacing="1" w:line="240" w:lineRule="auto"/>
        <w:ind w:left="567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 xml:space="preserve">The Chair of the Staff Senate or a staff member recommended by the Chair </w:t>
      </w:r>
    </w:p>
    <w:p w:rsidR="00A1058D" w:rsidRPr="00A1058D" w:rsidRDefault="00A1058D" w:rsidP="00A1058D">
      <w:pPr>
        <w:numPr>
          <w:ilvl w:val="0"/>
          <w:numId w:val="1"/>
        </w:numPr>
        <w:shd w:val="clear" w:color="auto" w:fill="FFFFFF"/>
        <w:spacing w:before="100" w:beforeAutospacing="1" w:after="100" w:afterAutospacing="1" w:line="240" w:lineRule="auto"/>
        <w:ind w:left="567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The Vice President for University Relations and Development or a designee</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 xml:space="preserve">The committee will also include an ex-officio (non-voting) designee from the Office of the Vice President for Academic Affairs.  </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b/>
          <w:bCs/>
          <w:sz w:val="24"/>
          <w:szCs w:val="24"/>
          <w:u w:val="single"/>
        </w:rPr>
      </w:pPr>
      <w:r w:rsidRPr="00A1058D">
        <w:rPr>
          <w:rFonts w:ascii="Arial" w:eastAsia="Times New Roman" w:hAnsi="Arial" w:cs="Arial"/>
          <w:b/>
          <w:bCs/>
          <w:color w:val="000000"/>
          <w:sz w:val="20"/>
          <w:u w:val="single"/>
        </w:rPr>
        <w:t>Nominations</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sz w:val="24"/>
          <w:szCs w:val="24"/>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themeColor="text1"/>
          <w:sz w:val="20"/>
          <w:szCs w:val="20"/>
        </w:rPr>
      </w:pPr>
      <w:r w:rsidRPr="00A1058D">
        <w:rPr>
          <w:rFonts w:ascii="Arial" w:eastAsia="Times New Roman" w:hAnsi="Arial" w:cs="Arial"/>
          <w:color w:val="000000" w:themeColor="text1"/>
          <w:sz w:val="20"/>
          <w:szCs w:val="20"/>
        </w:rPr>
        <w:t>The committee shall issue a call for nominations every August.  Nominations should be sent to the chair of the Selection Committee. To ensure broad participation and to reduce costs, nominations will be solicited using the University's electronic communications (internet or intranet) systems. All nominations must be in writing.</w:t>
      </w:r>
      <w:r w:rsidRPr="00A1058D">
        <w:rPr>
          <w:rFonts w:ascii="Times New Roman" w:eastAsia="Times New Roman" w:hAnsi="Times New Roman" w:cs="Times New Roman"/>
          <w:color w:val="000000" w:themeColor="text1"/>
          <w:sz w:val="24"/>
          <w:szCs w:val="24"/>
        </w:rPr>
        <w:t xml:space="preserve"> </w:t>
      </w:r>
      <w:r w:rsidRPr="00A1058D">
        <w:rPr>
          <w:rFonts w:ascii="Arial" w:eastAsia="Times New Roman" w:hAnsi="Arial" w:cs="Arial"/>
          <w:color w:val="000000" w:themeColor="text1"/>
          <w:sz w:val="20"/>
          <w:szCs w:val="20"/>
        </w:rPr>
        <w:t>The following schedule will be followed:</w:t>
      </w:r>
    </w:p>
    <w:p w:rsidR="00A1058D" w:rsidRPr="00A1058D" w:rsidRDefault="00A1058D" w:rsidP="00A1058D">
      <w:pPr>
        <w:shd w:val="clear" w:color="auto" w:fill="FFFFFF"/>
        <w:spacing w:line="240" w:lineRule="auto"/>
        <w:ind w:left="4590" w:right="165"/>
        <w:jc w:val="both"/>
        <w:rPr>
          <w:rFonts w:ascii="Arial" w:eastAsia="Times New Roman" w:hAnsi="Arial" w:cs="Arial"/>
          <w:color w:val="FF0000"/>
          <w:sz w:val="20"/>
          <w:szCs w:val="20"/>
        </w:rPr>
      </w:pPr>
    </w:p>
    <w:tbl>
      <w:tblPr>
        <w:tblW w:w="0" w:type="auto"/>
        <w:tblCellMar>
          <w:left w:w="0" w:type="dxa"/>
          <w:right w:w="0" w:type="dxa"/>
        </w:tblCellMar>
        <w:tblLook w:val="04A0"/>
      </w:tblPr>
      <w:tblGrid>
        <w:gridCol w:w="5328"/>
        <w:gridCol w:w="4248"/>
      </w:tblGrid>
      <w:tr w:rsidR="00A1058D" w:rsidRPr="00A1058D" w:rsidTr="00A1058D">
        <w:tc>
          <w:tcPr>
            <w:tcW w:w="532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Call for Nominations</w:t>
            </w:r>
          </w:p>
        </w:tc>
        <w:tc>
          <w:tcPr>
            <w:tcW w:w="42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August 17 through September 15,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Committee Review and Deliberations</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Times New Roman" w:eastAsia="Times New Roman" w:hAnsi="Times New Roman" w:cs="Times New Roman"/>
                <w:color w:val="000000"/>
                <w:sz w:val="24"/>
                <w:szCs w:val="24"/>
              </w:rPr>
            </w:pPr>
            <w:r w:rsidRPr="00A1058D">
              <w:rPr>
                <w:rFonts w:ascii="Arial" w:eastAsia="Times New Roman" w:hAnsi="Arial" w:cs="Arial"/>
                <w:color w:val="000000"/>
                <w:sz w:val="18"/>
                <w:szCs w:val="18"/>
              </w:rPr>
              <w:t xml:space="preserve">September 17, 2010 </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Nominee Recommendation Sent to President</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September 20,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Nominee Recommendation Sent to Paula Short</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September 24,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Recommendation Sent to Chancellor</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September 30,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Chancellor Approves Recommendation</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October 8,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Nominee Notified of Selection</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October 15,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Protocol Officer Notified of Selection</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October 15, 2010</w:t>
            </w:r>
          </w:p>
        </w:tc>
      </w:tr>
      <w:tr w:rsidR="00A1058D" w:rsidRPr="00A1058D" w:rsidTr="00A1058D">
        <w:tc>
          <w:tcPr>
            <w:tcW w:w="532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Conferring of Honorary Doctor of Humane Letters</w:t>
            </w:r>
          </w:p>
        </w:tc>
        <w:tc>
          <w:tcPr>
            <w:tcW w:w="4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A1058D" w:rsidRPr="00A1058D" w:rsidRDefault="00A1058D" w:rsidP="00A1058D">
            <w:pPr>
              <w:spacing w:line="240" w:lineRule="auto"/>
              <w:jc w:val="both"/>
              <w:rPr>
                <w:rFonts w:ascii="Arial" w:eastAsia="Times New Roman" w:hAnsi="Arial" w:cs="Arial"/>
                <w:color w:val="000000"/>
                <w:sz w:val="18"/>
                <w:szCs w:val="18"/>
              </w:rPr>
            </w:pPr>
            <w:r w:rsidRPr="00A1058D">
              <w:rPr>
                <w:rFonts w:ascii="Arial" w:eastAsia="Times New Roman" w:hAnsi="Arial" w:cs="Arial"/>
                <w:color w:val="000000"/>
                <w:sz w:val="18"/>
                <w:szCs w:val="18"/>
              </w:rPr>
              <w:t>December 18, 2010</w:t>
            </w:r>
          </w:p>
        </w:tc>
      </w:tr>
    </w:tbl>
    <w:p w:rsidR="00A1058D" w:rsidRPr="00A1058D" w:rsidRDefault="00A1058D" w:rsidP="00A1058D">
      <w:pPr>
        <w:shd w:val="clear" w:color="auto" w:fill="FFFFFF"/>
        <w:spacing w:line="240" w:lineRule="auto"/>
        <w:ind w:left="4590" w:right="165"/>
        <w:rPr>
          <w:rFonts w:ascii="Calibri" w:eastAsia="Times New Roman" w:hAnsi="Calibri" w:cs="Times New Roman"/>
          <w:color w:val="000000"/>
          <w:sz w:val="24"/>
          <w:szCs w:val="24"/>
        </w:rPr>
      </w:pPr>
      <w:r w:rsidRPr="00A1058D">
        <w:rPr>
          <w:rFonts w:ascii="Arial" w:eastAsia="Times New Roman" w:hAnsi="Arial" w:cs="Arial"/>
          <w:color w:val="FF0000"/>
          <w:sz w:val="20"/>
          <w:szCs w:val="20"/>
        </w:rPr>
        <w:t> </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themeColor="text1"/>
          <w:sz w:val="20"/>
          <w:szCs w:val="20"/>
        </w:rPr>
      </w:pPr>
      <w:r w:rsidRPr="00A1058D">
        <w:rPr>
          <w:rFonts w:ascii="Arial" w:eastAsia="Times New Roman" w:hAnsi="Arial" w:cs="Arial"/>
          <w:color w:val="000000" w:themeColor="text1"/>
          <w:sz w:val="20"/>
          <w:szCs w:val="20"/>
        </w:rPr>
        <w:t>Candidates who are not recommended for a degree during any year may be subsequently considered upon re-nomination. Nominations received after the August nomination period will be considered by the Selection Committee at the next, annual cycle.</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b/>
          <w:bCs/>
          <w:color w:val="000000"/>
          <w:sz w:val="24"/>
          <w:szCs w:val="24"/>
          <w:u w:val="single"/>
        </w:rPr>
      </w:pPr>
      <w:r w:rsidRPr="00A1058D">
        <w:rPr>
          <w:rFonts w:ascii="Arial" w:eastAsia="Times New Roman" w:hAnsi="Arial" w:cs="Arial"/>
          <w:color w:val="000000"/>
          <w:sz w:val="20"/>
          <w:szCs w:val="20"/>
        </w:rPr>
        <w:br/>
      </w:r>
      <w:r w:rsidRPr="00A1058D">
        <w:rPr>
          <w:rFonts w:ascii="Arial" w:eastAsia="Times New Roman" w:hAnsi="Arial" w:cs="Arial"/>
          <w:b/>
          <w:bCs/>
          <w:color w:val="000000"/>
          <w:sz w:val="20"/>
          <w:u w:val="single"/>
        </w:rPr>
        <w:t>Terms</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sz w:val="24"/>
          <w:szCs w:val="24"/>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Committee members serve for three years, but with appointments staggered to ensure continuity and overlap of terms.</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b/>
          <w:bCs/>
          <w:sz w:val="24"/>
          <w:szCs w:val="24"/>
          <w:u w:val="single"/>
        </w:rPr>
      </w:pPr>
      <w:r w:rsidRPr="00A1058D">
        <w:rPr>
          <w:rFonts w:ascii="Arial" w:eastAsia="Times New Roman" w:hAnsi="Arial" w:cs="Arial"/>
          <w:b/>
          <w:bCs/>
          <w:color w:val="000000"/>
          <w:sz w:val="20"/>
          <w:u w:val="single"/>
        </w:rPr>
        <w:t>Selection and Approval Process</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sz w:val="24"/>
          <w:szCs w:val="24"/>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 xml:space="preserve">To be recommended, a nominee must receive a minimum of four positive votes from members of the Committee. It is not required that all committee members vote or </w:t>
      </w:r>
      <w:proofErr w:type="gramStart"/>
      <w:r w:rsidRPr="00A1058D">
        <w:rPr>
          <w:rFonts w:ascii="Arial" w:eastAsia="Times New Roman" w:hAnsi="Arial" w:cs="Arial"/>
          <w:color w:val="000000"/>
          <w:sz w:val="20"/>
          <w:szCs w:val="20"/>
        </w:rPr>
        <w:t>be</w:t>
      </w:r>
      <w:proofErr w:type="gramEnd"/>
      <w:r w:rsidRPr="00A1058D">
        <w:rPr>
          <w:rFonts w:ascii="Arial" w:eastAsia="Times New Roman" w:hAnsi="Arial" w:cs="Arial"/>
          <w:color w:val="000000"/>
          <w:sz w:val="20"/>
          <w:szCs w:val="20"/>
        </w:rPr>
        <w:t xml:space="preserve"> present for a recommendation to the President to be binding. The selection and approval process is as follows:</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1.</w:t>
      </w:r>
      <w:r w:rsidRPr="00A1058D">
        <w:rPr>
          <w:rFonts w:ascii="Arial" w:eastAsia="Times New Roman" w:hAnsi="Arial" w:cs="Arial"/>
          <w:color w:val="000000"/>
          <w:sz w:val="20"/>
          <w:szCs w:val="20"/>
        </w:rPr>
        <w:tab/>
        <w:t xml:space="preserve">Nominations will be solicited from the University community via Outlook Exchange and </w:t>
      </w:r>
      <w:proofErr w:type="spellStart"/>
      <w:r w:rsidRPr="00A1058D">
        <w:rPr>
          <w:rFonts w:ascii="Arial" w:eastAsia="Times New Roman" w:hAnsi="Arial" w:cs="Arial"/>
          <w:color w:val="000000"/>
          <w:sz w:val="20"/>
          <w:szCs w:val="20"/>
        </w:rPr>
        <w:t>MyTSU</w:t>
      </w:r>
      <w:proofErr w:type="spellEnd"/>
      <w:r w:rsidRPr="00A1058D">
        <w:rPr>
          <w:rFonts w:ascii="Arial" w:eastAsia="Times New Roman" w:hAnsi="Arial" w:cs="Arial"/>
          <w:color w:val="000000"/>
          <w:sz w:val="20"/>
          <w:szCs w:val="20"/>
        </w:rPr>
        <w:t xml:space="preserve"> with the instruction that nominations be sent to the Selection Committee.  </w:t>
      </w: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2.</w:t>
      </w:r>
      <w:r w:rsidRPr="00A1058D">
        <w:rPr>
          <w:rFonts w:ascii="Arial" w:eastAsia="Times New Roman" w:hAnsi="Arial" w:cs="Arial"/>
          <w:color w:val="000000"/>
          <w:sz w:val="20"/>
          <w:szCs w:val="20"/>
        </w:rPr>
        <w:tab/>
        <w:t xml:space="preserve">The Selection Committee chair may receive nominations electronically or in hard copy. </w:t>
      </w: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3.</w:t>
      </w:r>
      <w:r w:rsidRPr="00A1058D">
        <w:rPr>
          <w:rFonts w:ascii="Arial" w:eastAsia="Times New Roman" w:hAnsi="Arial" w:cs="Arial"/>
          <w:color w:val="000000"/>
          <w:sz w:val="20"/>
          <w:szCs w:val="20"/>
        </w:rPr>
        <w:tab/>
        <w:t>Complete nominations must include a letter from the nominator, supporting documentation detailing why the candidate is deserving of an honorary degree from Tennessee State University, and the candidate's CV or a biographical statement.</w:t>
      </w: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3.</w:t>
      </w:r>
      <w:r w:rsidRPr="00A1058D">
        <w:rPr>
          <w:rFonts w:ascii="Arial" w:eastAsia="Times New Roman" w:hAnsi="Arial" w:cs="Arial"/>
          <w:color w:val="000000"/>
          <w:sz w:val="20"/>
          <w:szCs w:val="20"/>
        </w:rPr>
        <w:tab/>
        <w:t>The committee will consider the nominations and forward a recommendation to the President.</w:t>
      </w: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4.</w:t>
      </w:r>
      <w:r w:rsidRPr="00A1058D">
        <w:rPr>
          <w:rFonts w:ascii="Arial" w:eastAsia="Times New Roman" w:hAnsi="Arial" w:cs="Arial"/>
          <w:color w:val="000000"/>
          <w:sz w:val="20"/>
          <w:szCs w:val="20"/>
        </w:rPr>
        <w:tab/>
        <w:t>If the recommendation approved, the President will transmit the nominee's name to the Board of Regents Vice Chancellor for Academic Affairs.</w:t>
      </w: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5.</w:t>
      </w:r>
      <w:r w:rsidRPr="00A1058D">
        <w:rPr>
          <w:rFonts w:ascii="Arial" w:eastAsia="Times New Roman" w:hAnsi="Arial" w:cs="Arial"/>
          <w:color w:val="000000"/>
          <w:sz w:val="20"/>
          <w:szCs w:val="20"/>
        </w:rPr>
        <w:tab/>
        <w:t xml:space="preserve">The Vice Chancellor will review the recommended candidate for compliance with TBR policy and forward a recommendation to the Chancellor. </w:t>
      </w:r>
    </w:p>
    <w:p w:rsidR="00A1058D" w:rsidRPr="00A1058D" w:rsidRDefault="00A1058D" w:rsidP="00A1058D">
      <w:pPr>
        <w:shd w:val="clear" w:color="auto" w:fill="FFFFFF"/>
        <w:spacing w:line="240" w:lineRule="auto"/>
        <w:ind w:left="5310" w:right="165" w:hanging="720"/>
        <w:jc w:val="both"/>
        <w:rPr>
          <w:rFonts w:ascii="Arial" w:eastAsia="Times New Roman" w:hAnsi="Arial" w:cs="Arial"/>
          <w:color w:val="000000"/>
          <w:sz w:val="20"/>
          <w:szCs w:val="20"/>
        </w:rPr>
      </w:pPr>
      <w:r w:rsidRPr="00A1058D">
        <w:rPr>
          <w:rFonts w:ascii="Arial" w:eastAsia="Times New Roman" w:hAnsi="Arial" w:cs="Arial"/>
          <w:color w:val="000000"/>
          <w:sz w:val="20"/>
          <w:szCs w:val="20"/>
        </w:rPr>
        <w:t>6.</w:t>
      </w:r>
      <w:r w:rsidRPr="00A1058D">
        <w:rPr>
          <w:rFonts w:ascii="Arial" w:eastAsia="Times New Roman" w:hAnsi="Arial" w:cs="Arial"/>
          <w:color w:val="000000"/>
          <w:sz w:val="20"/>
          <w:szCs w:val="20"/>
        </w:rPr>
        <w:tab/>
        <w:t>Upon approval by the Chancellor, the President will notify the selected recipient.</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Times New Roman" w:eastAsia="Times New Roman" w:hAnsi="Times New Roman" w:cs="Times New Roman"/>
          <w:color w:val="000000"/>
          <w:sz w:val="24"/>
          <w:szCs w:val="24"/>
        </w:rPr>
        <w:t> </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b/>
          <w:bCs/>
          <w:sz w:val="24"/>
          <w:szCs w:val="24"/>
          <w:u w:val="single"/>
        </w:rPr>
      </w:pPr>
      <w:r w:rsidRPr="00A1058D">
        <w:rPr>
          <w:rFonts w:ascii="Arial" w:eastAsia="Times New Roman" w:hAnsi="Arial" w:cs="Arial"/>
          <w:b/>
          <w:bCs/>
          <w:color w:val="000000"/>
          <w:sz w:val="20"/>
          <w:u w:val="single"/>
        </w:rPr>
        <w:t>Confidentiality</w:t>
      </w:r>
    </w:p>
    <w:p w:rsidR="00A1058D" w:rsidRPr="00A1058D" w:rsidRDefault="00A1058D" w:rsidP="00A1058D">
      <w:pPr>
        <w:shd w:val="clear" w:color="auto" w:fill="FFFFFF"/>
        <w:spacing w:line="240" w:lineRule="auto"/>
        <w:ind w:left="4590" w:right="165"/>
        <w:jc w:val="both"/>
        <w:rPr>
          <w:rFonts w:ascii="Times New Roman" w:eastAsia="Times New Roman" w:hAnsi="Times New Roman" w:cs="Times New Roman"/>
          <w:sz w:val="24"/>
          <w:szCs w:val="24"/>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r w:rsidRPr="00A1058D">
        <w:rPr>
          <w:rFonts w:ascii="Arial" w:eastAsia="Times New Roman" w:hAnsi="Arial" w:cs="Arial"/>
          <w:color w:val="000000"/>
          <w:sz w:val="20"/>
          <w:szCs w:val="20"/>
        </w:rPr>
        <w:t>All deliberations will be confidential.</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20"/>
          <w:szCs w:val="20"/>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18"/>
          <w:szCs w:val="18"/>
        </w:rPr>
      </w:pPr>
      <w:r w:rsidRPr="00A1058D">
        <w:rPr>
          <w:rFonts w:ascii="Arial" w:eastAsia="Times New Roman" w:hAnsi="Arial" w:cs="Arial"/>
          <w:color w:val="000000"/>
          <w:sz w:val="18"/>
          <w:szCs w:val="18"/>
        </w:rPr>
        <w:t xml:space="preserve">Adopted:  Revised March 22, 2010; </w:t>
      </w:r>
      <w:proofErr w:type="gramStart"/>
      <w:r w:rsidRPr="00A1058D">
        <w:rPr>
          <w:rFonts w:ascii="Arial" w:eastAsia="Times New Roman" w:hAnsi="Arial" w:cs="Arial"/>
          <w:color w:val="000000"/>
          <w:sz w:val="18"/>
          <w:szCs w:val="18"/>
        </w:rPr>
        <w:t>Originally</w:t>
      </w:r>
      <w:proofErr w:type="gramEnd"/>
      <w:r w:rsidRPr="00A1058D">
        <w:rPr>
          <w:rFonts w:ascii="Arial" w:eastAsia="Times New Roman" w:hAnsi="Arial" w:cs="Arial"/>
          <w:color w:val="000000"/>
          <w:sz w:val="18"/>
          <w:szCs w:val="18"/>
        </w:rPr>
        <w:t xml:space="preserve"> adopted August 17, 2009</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18"/>
          <w:szCs w:val="18"/>
        </w:rPr>
      </w:pPr>
      <w:r w:rsidRPr="00A1058D">
        <w:rPr>
          <w:rFonts w:ascii="Arial" w:eastAsia="Times New Roman" w:hAnsi="Arial" w:cs="Arial"/>
          <w:color w:val="000000"/>
          <w:sz w:val="18"/>
          <w:szCs w:val="18"/>
        </w:rPr>
        <w:t xml:space="preserve">Authority: TBR Policy #2:06:00:00, </w:t>
      </w:r>
      <w:hyperlink r:id="rId6" w:history="1">
        <w:r w:rsidRPr="00A1058D">
          <w:rPr>
            <w:rFonts w:ascii="Arial" w:eastAsia="Times New Roman" w:hAnsi="Arial" w:cs="Arial"/>
            <w:i/>
            <w:color w:val="800080"/>
            <w:sz w:val="18"/>
            <w:u w:val="single"/>
          </w:rPr>
          <w:t>Awarding the Honorary Degree</w:t>
        </w:r>
      </w:hyperlink>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18"/>
          <w:szCs w:val="18"/>
        </w:rPr>
      </w:pPr>
      <w:r w:rsidRPr="00A1058D">
        <w:rPr>
          <w:rFonts w:ascii="Arial" w:eastAsia="Times New Roman" w:hAnsi="Arial" w:cs="Arial"/>
          <w:color w:val="000000"/>
          <w:sz w:val="18"/>
          <w:szCs w:val="18"/>
        </w:rPr>
        <w:t>Source: Board Meeting December 3, 2004, Approved March 27, 2008 to take effect July 1, 2008</w:t>
      </w: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18"/>
          <w:szCs w:val="18"/>
        </w:rPr>
      </w:pPr>
    </w:p>
    <w:p w:rsidR="00A1058D" w:rsidRPr="00A1058D" w:rsidRDefault="00A1058D" w:rsidP="00A1058D">
      <w:pPr>
        <w:shd w:val="clear" w:color="auto" w:fill="FFFFFF"/>
        <w:spacing w:line="240" w:lineRule="auto"/>
        <w:ind w:left="4590" w:right="165"/>
        <w:jc w:val="both"/>
        <w:rPr>
          <w:rFonts w:ascii="Arial" w:eastAsia="Times New Roman" w:hAnsi="Arial" w:cs="Arial"/>
          <w:color w:val="000000"/>
          <w:sz w:val="18"/>
          <w:szCs w:val="18"/>
        </w:rPr>
      </w:pPr>
    </w:p>
    <w:p w:rsidR="00A1058D" w:rsidRPr="00A1058D" w:rsidRDefault="00A1058D" w:rsidP="00A1058D">
      <w:pPr>
        <w:shd w:val="clear" w:color="auto" w:fill="FFFFFF"/>
        <w:spacing w:before="100" w:beforeAutospacing="1" w:after="100" w:afterAutospacing="1" w:line="240" w:lineRule="auto"/>
        <w:ind w:left="4590" w:right="165"/>
        <w:rPr>
          <w:rFonts w:ascii="Arial" w:eastAsia="Times New Roman" w:hAnsi="Arial" w:cs="Arial"/>
          <w:color w:val="000000"/>
          <w:sz w:val="20"/>
          <w:szCs w:val="20"/>
        </w:rPr>
      </w:pPr>
      <w:r w:rsidRPr="00A1058D">
        <w:rPr>
          <w:rFonts w:ascii="Arial" w:eastAsia="Times New Roman" w:hAnsi="Arial" w:cs="Arial"/>
          <w:color w:val="000000"/>
          <w:sz w:val="20"/>
          <w:szCs w:val="20"/>
        </w:rPr>
        <w:t> </w:t>
      </w:r>
    </w:p>
    <w:p w:rsidR="00233D9E" w:rsidRDefault="00233D9E"/>
    <w:sectPr w:rsidR="00233D9E" w:rsidSect="00233D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4016B"/>
    <w:multiLevelType w:val="multilevel"/>
    <w:tmpl w:val="E8AC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A1058D"/>
    <w:rsid w:val="00233D9E"/>
    <w:rsid w:val="00821BA3"/>
    <w:rsid w:val="00A1058D"/>
    <w:rsid w:val="00AC0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58D"/>
    <w:rPr>
      <w:color w:val="0000FF"/>
      <w:u w:val="single"/>
    </w:rPr>
  </w:style>
  <w:style w:type="paragraph" w:styleId="NormalWeb">
    <w:name w:val="Normal (Web)"/>
    <w:basedOn w:val="Normal"/>
    <w:uiPriority w:val="99"/>
    <w:semiHidden/>
    <w:unhideWhenUsed/>
    <w:rsid w:val="00A10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58D"/>
    <w:rPr>
      <w:b/>
      <w:bCs/>
    </w:rPr>
  </w:style>
  <w:style w:type="paragraph" w:styleId="ListParagraph">
    <w:name w:val="List Paragraph"/>
    <w:basedOn w:val="Normal"/>
    <w:uiPriority w:val="34"/>
    <w:qFormat/>
    <w:rsid w:val="00A10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2924924">
      <w:bodyDiv w:val="1"/>
      <w:marLeft w:val="0"/>
      <w:marRight w:val="0"/>
      <w:marTop w:val="0"/>
      <w:marBottom w:val="0"/>
      <w:divBdr>
        <w:top w:val="none" w:sz="0" w:space="0" w:color="auto"/>
        <w:left w:val="none" w:sz="0" w:space="0" w:color="auto"/>
        <w:bottom w:val="none" w:sz="0" w:space="0" w:color="auto"/>
        <w:right w:val="none" w:sz="0" w:space="0" w:color="auto"/>
      </w:divBdr>
      <w:divsChild>
        <w:div w:id="1445809512">
          <w:marLeft w:val="0"/>
          <w:marRight w:val="0"/>
          <w:marTop w:val="0"/>
          <w:marBottom w:val="150"/>
          <w:divBdr>
            <w:top w:val="none" w:sz="0" w:space="0" w:color="auto"/>
            <w:left w:val="none" w:sz="0" w:space="0" w:color="auto"/>
            <w:bottom w:val="none" w:sz="0" w:space="0" w:color="auto"/>
            <w:right w:val="none" w:sz="0" w:space="0" w:color="auto"/>
          </w:divBdr>
          <w:divsChild>
            <w:div w:id="593513983">
              <w:marLeft w:val="0"/>
              <w:marRight w:val="0"/>
              <w:marTop w:val="0"/>
              <w:marBottom w:val="0"/>
              <w:divBdr>
                <w:top w:val="none" w:sz="0" w:space="0" w:color="auto"/>
                <w:left w:val="none" w:sz="0" w:space="0" w:color="auto"/>
                <w:bottom w:val="none" w:sz="0" w:space="0" w:color="auto"/>
                <w:right w:val="none" w:sz="0" w:space="0" w:color="auto"/>
              </w:divBdr>
              <w:divsChild>
                <w:div w:id="1939173965">
                  <w:marLeft w:val="1590"/>
                  <w:marRight w:val="0"/>
                  <w:marTop w:val="0"/>
                  <w:marBottom w:val="0"/>
                  <w:divBdr>
                    <w:top w:val="none" w:sz="0" w:space="0" w:color="auto"/>
                    <w:left w:val="none" w:sz="0" w:space="0" w:color="auto"/>
                    <w:bottom w:val="none" w:sz="0" w:space="0" w:color="auto"/>
                    <w:right w:val="none" w:sz="0" w:space="0" w:color="auto"/>
                  </w:divBdr>
                  <w:divsChild>
                    <w:div w:id="2058776784">
                      <w:marLeft w:val="15"/>
                      <w:marRight w:val="15"/>
                      <w:marTop w:val="0"/>
                      <w:marBottom w:val="0"/>
                      <w:divBdr>
                        <w:top w:val="none" w:sz="0" w:space="0" w:color="auto"/>
                        <w:left w:val="none" w:sz="0" w:space="0" w:color="auto"/>
                        <w:bottom w:val="none" w:sz="0" w:space="0" w:color="auto"/>
                        <w:right w:val="none" w:sz="0" w:space="0" w:color="auto"/>
                      </w:divBdr>
                      <w:divsChild>
                        <w:div w:id="806901029">
                          <w:marLeft w:val="105"/>
                          <w:marRight w:val="0"/>
                          <w:marTop w:val="0"/>
                          <w:marBottom w:val="0"/>
                          <w:divBdr>
                            <w:top w:val="none" w:sz="0" w:space="0" w:color="auto"/>
                            <w:left w:val="none" w:sz="0" w:space="0" w:color="auto"/>
                            <w:bottom w:val="single" w:sz="6" w:space="31" w:color="000066"/>
                            <w:right w:val="none" w:sz="0" w:space="0" w:color="auto"/>
                          </w:divBdr>
                          <w:divsChild>
                            <w:div w:id="1022323010">
                              <w:marLeft w:val="2880"/>
                              <w:marRight w:val="150"/>
                              <w:marTop w:val="105"/>
                              <w:marBottom w:val="0"/>
                              <w:divBdr>
                                <w:top w:val="single" w:sz="6" w:space="8" w:color="000066"/>
                                <w:left w:val="single" w:sz="6" w:space="8" w:color="000066"/>
                                <w:bottom w:val="single" w:sz="6" w:space="8" w:color="000066"/>
                                <w:right w:val="single" w:sz="6" w:space="8" w:color="000066"/>
                              </w:divBdr>
                              <w:divsChild>
                                <w:div w:id="52629627">
                                  <w:marLeft w:val="360"/>
                                  <w:marRight w:val="0"/>
                                  <w:marTop w:val="0"/>
                                  <w:marBottom w:val="0"/>
                                  <w:divBdr>
                                    <w:top w:val="none" w:sz="0" w:space="0" w:color="auto"/>
                                    <w:left w:val="none" w:sz="0" w:space="0" w:color="auto"/>
                                    <w:bottom w:val="none" w:sz="0" w:space="0" w:color="auto"/>
                                    <w:right w:val="none" w:sz="0" w:space="0" w:color="auto"/>
                                  </w:divBdr>
                                </w:div>
                                <w:div w:id="1069037891">
                                  <w:marLeft w:val="360"/>
                                  <w:marRight w:val="0"/>
                                  <w:marTop w:val="0"/>
                                  <w:marBottom w:val="0"/>
                                  <w:divBdr>
                                    <w:top w:val="none" w:sz="0" w:space="0" w:color="auto"/>
                                    <w:left w:val="none" w:sz="0" w:space="0" w:color="auto"/>
                                    <w:bottom w:val="none" w:sz="0" w:space="0" w:color="auto"/>
                                    <w:right w:val="none" w:sz="0" w:space="0" w:color="auto"/>
                                  </w:divBdr>
                                </w:div>
                                <w:div w:id="1365449398">
                                  <w:marLeft w:val="360"/>
                                  <w:marRight w:val="0"/>
                                  <w:marTop w:val="0"/>
                                  <w:marBottom w:val="0"/>
                                  <w:divBdr>
                                    <w:top w:val="none" w:sz="0" w:space="0" w:color="auto"/>
                                    <w:left w:val="none" w:sz="0" w:space="0" w:color="auto"/>
                                    <w:bottom w:val="none" w:sz="0" w:space="0" w:color="auto"/>
                                    <w:right w:val="none" w:sz="0" w:space="0" w:color="auto"/>
                                  </w:divBdr>
                                </w:div>
                                <w:div w:id="13479019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700614">
      <w:bodyDiv w:val="1"/>
      <w:marLeft w:val="0"/>
      <w:marRight w:val="0"/>
      <w:marTop w:val="0"/>
      <w:marBottom w:val="0"/>
      <w:divBdr>
        <w:top w:val="none" w:sz="0" w:space="0" w:color="auto"/>
        <w:left w:val="none" w:sz="0" w:space="0" w:color="auto"/>
        <w:bottom w:val="none" w:sz="0" w:space="0" w:color="auto"/>
        <w:right w:val="none" w:sz="0" w:space="0" w:color="auto"/>
      </w:divBdr>
      <w:divsChild>
        <w:div w:id="937102663">
          <w:marLeft w:val="0"/>
          <w:marRight w:val="0"/>
          <w:marTop w:val="0"/>
          <w:marBottom w:val="150"/>
          <w:divBdr>
            <w:top w:val="none" w:sz="0" w:space="0" w:color="auto"/>
            <w:left w:val="none" w:sz="0" w:space="0" w:color="auto"/>
            <w:bottom w:val="none" w:sz="0" w:space="0" w:color="auto"/>
            <w:right w:val="none" w:sz="0" w:space="0" w:color="auto"/>
          </w:divBdr>
          <w:divsChild>
            <w:div w:id="1883899549">
              <w:marLeft w:val="0"/>
              <w:marRight w:val="0"/>
              <w:marTop w:val="0"/>
              <w:marBottom w:val="0"/>
              <w:divBdr>
                <w:top w:val="none" w:sz="0" w:space="0" w:color="auto"/>
                <w:left w:val="none" w:sz="0" w:space="0" w:color="auto"/>
                <w:bottom w:val="none" w:sz="0" w:space="0" w:color="auto"/>
                <w:right w:val="none" w:sz="0" w:space="0" w:color="auto"/>
              </w:divBdr>
              <w:divsChild>
                <w:div w:id="2053727692">
                  <w:marLeft w:val="1590"/>
                  <w:marRight w:val="0"/>
                  <w:marTop w:val="0"/>
                  <w:marBottom w:val="0"/>
                  <w:divBdr>
                    <w:top w:val="none" w:sz="0" w:space="0" w:color="auto"/>
                    <w:left w:val="none" w:sz="0" w:space="0" w:color="auto"/>
                    <w:bottom w:val="none" w:sz="0" w:space="0" w:color="auto"/>
                    <w:right w:val="none" w:sz="0" w:space="0" w:color="auto"/>
                  </w:divBdr>
                  <w:divsChild>
                    <w:div w:id="302732741">
                      <w:marLeft w:val="15"/>
                      <w:marRight w:val="15"/>
                      <w:marTop w:val="0"/>
                      <w:marBottom w:val="0"/>
                      <w:divBdr>
                        <w:top w:val="none" w:sz="0" w:space="0" w:color="auto"/>
                        <w:left w:val="none" w:sz="0" w:space="0" w:color="auto"/>
                        <w:bottom w:val="none" w:sz="0" w:space="0" w:color="auto"/>
                        <w:right w:val="none" w:sz="0" w:space="0" w:color="auto"/>
                      </w:divBdr>
                      <w:divsChild>
                        <w:div w:id="1989438589">
                          <w:marLeft w:val="105"/>
                          <w:marRight w:val="0"/>
                          <w:marTop w:val="0"/>
                          <w:marBottom w:val="0"/>
                          <w:divBdr>
                            <w:top w:val="none" w:sz="0" w:space="0" w:color="auto"/>
                            <w:left w:val="none" w:sz="0" w:space="0" w:color="auto"/>
                            <w:bottom w:val="single" w:sz="6" w:space="31" w:color="000066"/>
                            <w:right w:val="none" w:sz="0" w:space="0" w:color="auto"/>
                          </w:divBdr>
                          <w:divsChild>
                            <w:div w:id="1577132544">
                              <w:marLeft w:val="2880"/>
                              <w:marRight w:val="150"/>
                              <w:marTop w:val="105"/>
                              <w:marBottom w:val="0"/>
                              <w:divBdr>
                                <w:top w:val="single" w:sz="6" w:space="8" w:color="000066"/>
                                <w:left w:val="single" w:sz="6" w:space="8" w:color="000066"/>
                                <w:bottom w:val="single" w:sz="6" w:space="8" w:color="000066"/>
                                <w:right w:val="single" w:sz="6" w:space="8" w:color="00006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br.edu/policies/default.aspx?id=1024&amp;terms=honorary+degree" TargetMode="External"/><Relationship Id="rId5" Type="http://schemas.openxmlformats.org/officeDocument/2006/relationships/hyperlink" Target="http://www.tbr.edu/policies/default.aspx?id=1024&amp;terms=honorary+deg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6065</Characters>
  <Application>Microsoft Office Word</Application>
  <DocSecurity>0</DocSecurity>
  <Lines>50</Lines>
  <Paragraphs>14</Paragraphs>
  <ScaleCrop>false</ScaleCrop>
  <Company>Tennessee State University</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tjennette</dc:creator>
  <cp:keywords/>
  <dc:description/>
  <cp:lastModifiedBy>tjennette</cp:lastModifiedBy>
  <cp:revision>1</cp:revision>
  <dcterms:created xsi:type="dcterms:W3CDTF">2011-05-25T16:12:00Z</dcterms:created>
  <dcterms:modified xsi:type="dcterms:W3CDTF">2011-05-25T16:12:00Z</dcterms:modified>
</cp:coreProperties>
</file>